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keepNext w:val="0"/>
        <w:spacing w:before="0" w:line="240" w:lineRule="auto"/>
        <w:tabs>
          <w:tab w:val="left" w:pos="709" w:leader="none"/>
        </w:tabs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/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/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/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/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/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/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/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/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/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/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 w:val="0"/>
          <w:bCs w:val="0"/>
          <w:i w:val="0"/>
          <w:sz w:val="28"/>
          <w:szCs w:val="28"/>
        </w:rPr>
        <w:outlineLvl w:val="1"/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sz w:val="28"/>
          <w:szCs w:val="28"/>
        </w:rPr>
        <w:t xml:space="preserve">б утверждении перечня областных и муниципальных учреждений (предприятий), для которых предполагается квотирование рабочих мест, предлагаемых для замещени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sz w:val="28"/>
          <w:szCs w:val="28"/>
        </w:rPr>
        <w:t xml:space="preserve">я молодыми специалистами, на 202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sz w:val="28"/>
          <w:szCs w:val="28"/>
        </w:rPr>
        <w:t xml:space="preserve">3 год</w:t>
      </w:r>
      <w:r>
        <w:rPr>
          <w:b w:val="0"/>
          <w:bCs w:val="0"/>
          <w:i w:val="0"/>
          <w:iCs w:val="0"/>
          <w:sz w:val="28"/>
          <w:szCs w:val="28"/>
        </w:rPr>
      </w:r>
      <w:r/>
    </w:p>
    <w:p>
      <w:pPr>
        <w:pStyle w:val="82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7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consultantplus://offline/ref=956D5F7D2A5E7C9A43E6B3C74A22987D0B551D4F90269708C4DA15627E4E9EAB1F34F1E0173F5F7809A7D5D8498E4C34u5xBA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законом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30.10.2013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391-ОЗ «</w:t>
      </w:r>
      <w:r>
        <w:rPr>
          <w:rFonts w:ascii="Times New Roman" w:hAnsi="Times New Roman"/>
          <w:sz w:val="28"/>
          <w:szCs w:val="28"/>
        </w:rPr>
        <w:t xml:space="preserve">О дополнительных мерах по привлечению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и закреплению молодых специалистов для работы в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consultantplus://offline/ref=956D5F7D2A5E7C9A43E6B3C74A22987D0B551D4F97229602C5DA15627E4E9EAB1F34F1E0173F5F7809A7D5D8498E4C34u5xBA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04.02.2014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31-пп «</w:t>
      </w:r>
      <w:r>
        <w:rPr>
          <w:rFonts w:ascii="Times New Roman" w:hAnsi="Times New Roman"/>
          <w:sz w:val="28"/>
          <w:szCs w:val="28"/>
        </w:rPr>
        <w:t xml:space="preserve">О реализации закона Еврейской автономной области от 30.10.2013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391-</w:t>
      </w:r>
      <w:r>
        <w:rPr>
          <w:rFonts w:ascii="Times New Roman" w:hAnsi="Times New Roman"/>
          <w:sz w:val="28"/>
          <w:szCs w:val="28"/>
        </w:rPr>
        <w:t xml:space="preserve">ОЗ «</w:t>
      </w:r>
      <w:r>
        <w:rPr>
          <w:rFonts w:ascii="Times New Roman" w:hAnsi="Times New Roman"/>
          <w:sz w:val="28"/>
          <w:szCs w:val="28"/>
        </w:rPr>
        <w:t xml:space="preserve">О дополнительных мерах по привлечению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и закреплению молодых специалистов для работы</w:t>
      </w:r>
      <w:r>
        <w:rPr>
          <w:rFonts w:ascii="Times New Roman" w:hAnsi="Times New Roman"/>
          <w:sz w:val="28"/>
          <w:szCs w:val="28"/>
        </w:rPr>
        <w:t xml:space="preserve"> в Еврейской автономной области»</w:t>
      </w:r>
      <w:r>
        <w:rPr>
          <w:rFonts w:ascii="Times New Roman" w:hAnsi="Times New Roman"/>
          <w:sz w:val="28"/>
          <w:szCs w:val="28"/>
        </w:rPr>
        <w:t xml:space="preserve"> и протоколом </w:t>
      </w:r>
      <w:r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 xml:space="preserve">Комиссии по формированию перечня областных и муниципальных учреждений (предприятий), для которых предполагается квотирование рабочих мест, предлагаемых для замещения молодыми специалистами, от </w:t>
      </w:r>
      <w:r>
        <w:rPr>
          <w:rFonts w:ascii="Times New Roman" w:hAnsi="Times New Roman"/>
          <w:sz w:val="28"/>
          <w:szCs w:val="28"/>
        </w:rPr>
        <w:t xml:space="preserve">30.0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правительство Еврейской автономной области</w:t>
      </w:r>
      <w:r/>
    </w:p>
    <w:p>
      <w:pPr>
        <w:pStyle w:val="82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/>
    </w:p>
    <w:p>
      <w:pPr>
        <w:pStyle w:val="82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\l Par29 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перечень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областных и муниципальных учреждений (предприятий), для которых предполагается квотирование рабочих мест, предлагаемых для замещения молодыми специалистами,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на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 год.</w:t>
      </w:r>
      <w:r/>
    </w:p>
    <w:p>
      <w:pPr>
        <w:pStyle w:val="827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</w:t>
      </w:r>
      <w:r/>
    </w:p>
    <w:p>
      <w:pPr>
        <w:pStyle w:val="82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7"/>
        <w:jc w:val="both"/>
        <w:spacing w:after="0" w:line="240" w:lineRule="auto"/>
        <w:rPr>
          <w:rFonts w:ascii="Times New Roman" w:hAnsi="Times New Roman"/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851" w:bottom="1134" w:left="1701" w:header="567" w:footer="567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области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Р.Э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Гольдштейн</w:t>
      </w:r>
      <w:r>
        <w:rPr>
          <w:rFonts w:ascii="Times New Roman" w:hAnsi="Times New Roman"/>
          <w:sz w:val="28"/>
          <w:szCs w:val="28"/>
        </w:rPr>
        <w:t xml:space="preserve">   </w:t>
      </w:r>
      <w:r/>
    </w:p>
    <w:p>
      <w:pPr>
        <w:pStyle w:val="827"/>
        <w:ind w:firstLine="538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7"/>
        <w:ind w:firstLine="5387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7"/>
        <w:ind w:firstLine="5387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остановлением правительства</w:t>
      </w:r>
      <w:r/>
    </w:p>
    <w:p>
      <w:pPr>
        <w:pStyle w:val="827"/>
        <w:ind w:firstLine="5387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7"/>
        <w:ind w:firstLine="5387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__________</w:t>
      </w:r>
      <w:r>
        <w:rPr>
          <w:rFonts w:ascii="Times New Roman" w:hAnsi="Times New Roman"/>
          <w:sz w:val="28"/>
          <w:szCs w:val="28"/>
        </w:rPr>
        <w:t xml:space="preserve">___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№ 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___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27"/>
        <w:jc w:val="both"/>
        <w:spacing w:after="0" w:line="240" w:lineRule="auto"/>
        <w:tabs>
          <w:tab w:val="left" w:pos="529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27"/>
        <w:jc w:val="both"/>
        <w:spacing w:after="0" w:line="240" w:lineRule="auto"/>
        <w:tabs>
          <w:tab w:val="left" w:pos="529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keepNext w:val="0"/>
        <w:spacing w:before="0" w:after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/>
      <w:bookmarkStart w:id="0" w:name="Par29"/>
      <w:r/>
      <w:bookmarkEnd w:id="0"/>
      <w:r>
        <w:rPr>
          <w:rFonts w:ascii="Times New Roman" w:hAnsi="Times New Roman" w:eastAsia="Calibri" w:cs="Times New Roman"/>
          <w:b w:val="0"/>
          <w:bCs w:val="0"/>
          <w:i w:val="0"/>
          <w:iCs w:val="0"/>
          <w:sz w:val="28"/>
          <w:szCs w:val="28"/>
        </w:rPr>
        <w:t xml:space="preserve">Перечень</w:t>
      </w:r>
      <w:r/>
    </w:p>
    <w:p>
      <w:pPr>
        <w:pStyle w:val="82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бластных и муниципальных учреждений (предприятий), для которых предполагается квотирование рабочих мест, предлагаемых для замещения молодыми специалистами, на </w:t>
      </w:r>
      <w:r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год</w:t>
      </w:r>
      <w:r/>
    </w:p>
    <w:p>
      <w:pPr>
        <w:pStyle w:val="82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9"/>
        <w:gridCol w:w="6662"/>
        <w:gridCol w:w="198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2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предлагаемых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замещения молодыми специалистами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82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Областное государственное профессиональное образовательное бюджетное учреждение «Сельскохозяйственный техникум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муниципального образования «Ленинский муниципальный район»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82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дошкольное образовательное учреждение «Детский сад п. Известковый» муниципального образования «Облученский муниципальный район»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82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«Культурно-досуговый центр «Железнодорожник» муниципального образования «Смидовичское городское поселение» Смидовичского муниципального района Еврейской автономной области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82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7 п. Николаевка» муниципального образования «Смидовичский муниципальный район»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82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№ 2 п. Теплоозерск» муниципального образования «Облученский муниципальный район»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2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sectPr>
      <w:footnotePr/>
      <w:endnotePr/>
      <w:type w:val="nextPage"/>
      <w:pgSz w:w="11906" w:h="16838" w:orient="portrait"/>
      <w:pgMar w:top="1134" w:right="851" w:bottom="1134" w:left="1701" w:header="567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9">
    <w:name w:val="Heading 1"/>
    <w:basedOn w:val="827"/>
    <w:next w:val="827"/>
    <w:link w:val="6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0">
    <w:name w:val="Heading 1 Char"/>
    <w:link w:val="649"/>
    <w:uiPriority w:val="9"/>
    <w:rPr>
      <w:rFonts w:ascii="Arial" w:hAnsi="Arial" w:eastAsia="Arial" w:cs="Arial"/>
      <w:sz w:val="40"/>
      <w:szCs w:val="40"/>
    </w:rPr>
  </w:style>
  <w:style w:type="paragraph" w:styleId="651">
    <w:name w:val="Heading 2"/>
    <w:basedOn w:val="827"/>
    <w:next w:val="827"/>
    <w:link w:val="6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2">
    <w:name w:val="Heading 2 Char"/>
    <w:link w:val="651"/>
    <w:uiPriority w:val="9"/>
    <w:rPr>
      <w:rFonts w:ascii="Arial" w:hAnsi="Arial" w:eastAsia="Arial" w:cs="Arial"/>
      <w:sz w:val="34"/>
    </w:rPr>
  </w:style>
  <w:style w:type="paragraph" w:styleId="653">
    <w:name w:val="Heading 3"/>
    <w:basedOn w:val="827"/>
    <w:next w:val="827"/>
    <w:link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4">
    <w:name w:val="Heading 3 Char"/>
    <w:link w:val="653"/>
    <w:uiPriority w:val="9"/>
    <w:rPr>
      <w:rFonts w:ascii="Arial" w:hAnsi="Arial" w:eastAsia="Arial" w:cs="Arial"/>
      <w:sz w:val="30"/>
      <w:szCs w:val="30"/>
    </w:rPr>
  </w:style>
  <w:style w:type="paragraph" w:styleId="655">
    <w:name w:val="Heading 4"/>
    <w:basedOn w:val="827"/>
    <w:next w:val="827"/>
    <w:link w:val="6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6">
    <w:name w:val="Heading 4 Char"/>
    <w:link w:val="655"/>
    <w:uiPriority w:val="9"/>
    <w:rPr>
      <w:rFonts w:ascii="Arial" w:hAnsi="Arial" w:eastAsia="Arial" w:cs="Arial"/>
      <w:b/>
      <w:bCs/>
      <w:sz w:val="26"/>
      <w:szCs w:val="26"/>
    </w:rPr>
  </w:style>
  <w:style w:type="paragraph" w:styleId="657">
    <w:name w:val="Heading 5"/>
    <w:basedOn w:val="827"/>
    <w:next w:val="827"/>
    <w:link w:val="6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8">
    <w:name w:val="Heading 5 Char"/>
    <w:link w:val="657"/>
    <w:uiPriority w:val="9"/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827"/>
    <w:next w:val="827"/>
    <w:link w:val="6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0">
    <w:name w:val="Heading 6 Char"/>
    <w:link w:val="659"/>
    <w:uiPriority w:val="9"/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827"/>
    <w:next w:val="827"/>
    <w:link w:val="6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2">
    <w:name w:val="Heading 7 Char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827"/>
    <w:next w:val="827"/>
    <w:link w:val="6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4">
    <w:name w:val="Heading 8 Char"/>
    <w:link w:val="663"/>
    <w:uiPriority w:val="9"/>
    <w:rPr>
      <w:rFonts w:ascii="Arial" w:hAnsi="Arial" w:eastAsia="Arial" w:cs="Arial"/>
      <w:i/>
      <w:iCs/>
      <w:sz w:val="22"/>
      <w:szCs w:val="22"/>
    </w:rPr>
  </w:style>
  <w:style w:type="paragraph" w:styleId="665">
    <w:name w:val="Heading 9"/>
    <w:basedOn w:val="827"/>
    <w:next w:val="827"/>
    <w:link w:val="6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>
    <w:name w:val="Heading 9 Char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67">
    <w:name w:val="List Paragraph"/>
    <w:basedOn w:val="827"/>
    <w:uiPriority w:val="34"/>
    <w:qFormat/>
    <w:pPr>
      <w:contextualSpacing/>
      <w:ind w:left="720"/>
    </w:pPr>
  </w:style>
  <w:style w:type="paragraph" w:styleId="668">
    <w:name w:val="No Spacing"/>
    <w:uiPriority w:val="1"/>
    <w:qFormat/>
    <w:pPr>
      <w:spacing w:before="0" w:after="0" w:line="240" w:lineRule="auto"/>
    </w:pPr>
  </w:style>
  <w:style w:type="paragraph" w:styleId="669">
    <w:name w:val="Title"/>
    <w:basedOn w:val="827"/>
    <w:next w:val="827"/>
    <w:link w:val="6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0">
    <w:name w:val="Title Char"/>
    <w:link w:val="669"/>
    <w:uiPriority w:val="10"/>
    <w:rPr>
      <w:sz w:val="48"/>
      <w:szCs w:val="48"/>
    </w:rPr>
  </w:style>
  <w:style w:type="paragraph" w:styleId="671">
    <w:name w:val="Subtitle"/>
    <w:basedOn w:val="827"/>
    <w:next w:val="827"/>
    <w:link w:val="672"/>
    <w:uiPriority w:val="11"/>
    <w:qFormat/>
    <w:pPr>
      <w:spacing w:before="200" w:after="200"/>
    </w:pPr>
    <w:rPr>
      <w:sz w:val="24"/>
      <w:szCs w:val="24"/>
    </w:rPr>
  </w:style>
  <w:style w:type="character" w:styleId="672">
    <w:name w:val="Subtitle Char"/>
    <w:link w:val="671"/>
    <w:uiPriority w:val="11"/>
    <w:rPr>
      <w:sz w:val="24"/>
      <w:szCs w:val="24"/>
    </w:rPr>
  </w:style>
  <w:style w:type="paragraph" w:styleId="673">
    <w:name w:val="Quote"/>
    <w:basedOn w:val="827"/>
    <w:next w:val="827"/>
    <w:link w:val="674"/>
    <w:uiPriority w:val="29"/>
    <w:qFormat/>
    <w:pPr>
      <w:ind w:left="720" w:right="720"/>
    </w:pPr>
    <w:rPr>
      <w:i/>
    </w:rPr>
  </w:style>
  <w:style w:type="character" w:styleId="674">
    <w:name w:val="Quote Char"/>
    <w:link w:val="673"/>
    <w:uiPriority w:val="29"/>
    <w:rPr>
      <w:i/>
    </w:rPr>
  </w:style>
  <w:style w:type="paragraph" w:styleId="675">
    <w:name w:val="Intense Quote"/>
    <w:basedOn w:val="827"/>
    <w:next w:val="827"/>
    <w:link w:val="6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6">
    <w:name w:val="Intense Quote Char"/>
    <w:link w:val="675"/>
    <w:uiPriority w:val="30"/>
    <w:rPr>
      <w:i/>
    </w:rPr>
  </w:style>
  <w:style w:type="paragraph" w:styleId="677">
    <w:name w:val="Header"/>
    <w:basedOn w:val="827"/>
    <w:link w:val="6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8">
    <w:name w:val="Header Char"/>
    <w:link w:val="677"/>
    <w:uiPriority w:val="99"/>
  </w:style>
  <w:style w:type="paragraph" w:styleId="679">
    <w:name w:val="Footer"/>
    <w:basedOn w:val="827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Footer Char"/>
    <w:link w:val="679"/>
    <w:uiPriority w:val="99"/>
  </w:style>
  <w:style w:type="paragraph" w:styleId="681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2">
    <w:name w:val="Caption Char"/>
    <w:basedOn w:val="681"/>
    <w:link w:val="679"/>
    <w:uiPriority w:val="99"/>
  </w:style>
  <w:style w:type="table" w:styleId="68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next w:val="827"/>
    <w:link w:val="827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28">
    <w:name w:val="Основной шрифт абзаца"/>
    <w:next w:val="828"/>
    <w:link w:val="827"/>
    <w:uiPriority w:val="1"/>
    <w:unhideWhenUsed/>
  </w:style>
  <w:style w:type="table" w:styleId="829">
    <w:name w:val="Обычная таблица"/>
    <w:next w:val="829"/>
    <w:link w:val="827"/>
    <w:uiPriority w:val="99"/>
    <w:semiHidden/>
    <w:unhideWhenUsed/>
    <w:tblPr/>
  </w:style>
  <w:style w:type="numbering" w:styleId="830">
    <w:name w:val="Нет списка"/>
    <w:next w:val="830"/>
    <w:link w:val="827"/>
    <w:uiPriority w:val="99"/>
    <w:semiHidden/>
    <w:unhideWhenUsed/>
  </w:style>
  <w:style w:type="paragraph" w:styleId="831">
    <w:name w:val="Текст выноски"/>
    <w:basedOn w:val="827"/>
    <w:next w:val="831"/>
    <w:link w:val="8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2">
    <w:name w:val="Текст выноски Знак"/>
    <w:next w:val="832"/>
    <w:link w:val="831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33">
    <w:name w:val="Верхний колонтитул"/>
    <w:basedOn w:val="827"/>
    <w:next w:val="833"/>
    <w:link w:val="83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4">
    <w:name w:val="Верхний колонтитул Знак"/>
    <w:next w:val="834"/>
    <w:link w:val="833"/>
    <w:uiPriority w:val="99"/>
    <w:rPr>
      <w:sz w:val="22"/>
      <w:szCs w:val="22"/>
      <w:lang w:eastAsia="en-US"/>
    </w:rPr>
  </w:style>
  <w:style w:type="paragraph" w:styleId="835">
    <w:name w:val="Нижний колонтитул"/>
    <w:basedOn w:val="827"/>
    <w:next w:val="835"/>
    <w:link w:val="8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6">
    <w:name w:val="Нижний колонтитул Знак"/>
    <w:next w:val="836"/>
    <w:link w:val="835"/>
    <w:uiPriority w:val="99"/>
    <w:rPr>
      <w:sz w:val="22"/>
      <w:szCs w:val="22"/>
      <w:lang w:eastAsia="en-US"/>
    </w:rPr>
  </w:style>
  <w:style w:type="character" w:styleId="837" w:default="1">
    <w:name w:val="Default Paragraph Font"/>
    <w:uiPriority w:val="1"/>
    <w:semiHidden/>
    <w:unhideWhenUsed/>
  </w:style>
  <w:style w:type="numbering" w:styleId="838" w:default="1">
    <w:name w:val="No List"/>
    <w:uiPriority w:val="99"/>
    <w:semiHidden/>
    <w:unhideWhenUsed/>
  </w:style>
  <w:style w:type="table" w:styleId="839" w:default="1">
    <w:name w:val="Normal Table"/>
    <w:uiPriority w:val="99"/>
    <w:semiHidden/>
    <w:unhideWhenUsed/>
    <w:tblPr/>
  </w:style>
  <w:style w:type="paragraph" w:styleId="840" w:customStyle="1">
    <w:name w:val="Body Text Indent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Управление труда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Наталья Александровна</dc:creator>
  <cp:revision>61</cp:revision>
  <dcterms:created xsi:type="dcterms:W3CDTF">2019-02-25T00:49:00Z</dcterms:created>
  <dcterms:modified xsi:type="dcterms:W3CDTF">2023-03-30T06:22:09Z</dcterms:modified>
  <cp:version>917504</cp:version>
</cp:coreProperties>
</file>